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after="315" w:afterAutospacing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参选银行评分标准</w:t>
      </w:r>
    </w:p>
    <w:bookmarkEnd w:id="0"/>
    <w:tbl>
      <w:tblPr>
        <w:tblStyle w:val="3"/>
        <w:tblW w:w="9512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258"/>
        <w:gridCol w:w="1086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评分项目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评分细则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分值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合规性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银行资质合规性。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3年内无重大违法违规记录、未发生金融风险及违约事件。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成本效率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开户手续费、账户管理费、网银服务费、短信服务费等账户相关服务收费高低。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存款利率、转账手续费等资金使用成本。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服务水平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公告邀约相应时间。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区内服务网点数量、上门服务、对公专用窗口服务、投诉处理等方面的条件。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支付结算处理即时准确安全、结算方式灵活多样。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配合开展党建活动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便利性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本单位距服务网点远近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eastAsia="zh-CN"/>
              </w:rPr>
              <w:t>对党建业务了解程度，网上银行操作便捷性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6309"/>
        <w:tblOverlap w:val="never"/>
        <w:tblW w:w="3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186FE0-5E5E-4D1E-B5CF-DAF877B4F2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85014B-75FD-456F-8C79-8BCE6C2BFB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29953B-1ABA-4D05-88B9-93565179026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E1E988D-C618-44F5-A195-A6226548FA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Dk2MTVkZWFlMzdhOGZhYmM0M2NjYjlhNDliNWEifQ=="/>
  </w:docVars>
  <w:rsids>
    <w:rsidRoot w:val="490D2E49"/>
    <w:rsid w:val="490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2025-08-11T04:00:00Z</dcterms:created>
  <dc:creator>ZQ</dc:creator>
  <cp:lastModifiedBy>ZQ</cp:lastModifiedBy>
  <dcterms:modified xsi:type="dcterms:W3CDTF">2025-08-11T04:01:08Z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123E5C283F8E41B9B78EEB613CDF64AD_11</vt:lpwstr>
  </property>
</Properties>
</file>